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16n3223z3w1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Klauzula informacyjna – darczyńcy - Bardzo Dobra Fundacja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Administrator danych</w:t>
        <w:br w:type="textWrapping"/>
      </w:r>
      <w:r w:rsidDel="00000000" w:rsidR="00000000" w:rsidRPr="00000000">
        <w:rPr>
          <w:rtl w:val="0"/>
        </w:rPr>
        <w:t xml:space="preserve">Administratorem Twoich danych osobowych jest Bardzo Dobra Fundacja z siedzibą w 87-100 Toruń, ul. Jana Olbrachta 4/6  wpisana do Krajowego Rejestru Sądowego pod numerem 0001184202, NIP 8792768895, REGON 542269930.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Dane kontaktowe</w:t>
        <w:br w:type="textWrapping"/>
      </w:r>
      <w:r w:rsidDel="00000000" w:rsidR="00000000" w:rsidRPr="00000000">
        <w:rPr>
          <w:rtl w:val="0"/>
        </w:rPr>
        <w:t xml:space="preserve">W sprawach związanych z ochroną danych osobowych możesz się z nami skontaktować: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listownie: 87-100 Toruń ul. Jana Olbrachta 4\6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e-mail:biuro@bdbfundacja.pl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Cele i podstawy prawne przetwarzania</w:t>
        <w:br w:type="textWrapping"/>
      </w:r>
      <w:r w:rsidDel="00000000" w:rsidR="00000000" w:rsidRPr="00000000">
        <w:rPr>
          <w:rtl w:val="0"/>
        </w:rPr>
        <w:t xml:space="preserve">Twoje dane osobowe przetwarzamy w następujących celach: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realizacja darowizny (podstawa: art. 6 ust. 1 lit. b RODO – wykonanie umowy darowizny);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prowadzenie sprawozdawczości finansowej i podatkowej (podstawa: art. 6 ust. 1 lit. c RODO – obowiązek prawny);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informowanie o działaniach Fundacji, w tym przesyłanie podziękowań i materiałów informacyjnych, jeśli wyraziłeś na to zgodę (podstawa: art. 6 ust. 1 lit. a RODO – zgoda).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Okres przechowywania danych</w:t>
        <w:br w:type="textWrapping"/>
      </w:r>
      <w:r w:rsidDel="00000000" w:rsidR="00000000" w:rsidRPr="00000000">
        <w:rPr>
          <w:rtl w:val="0"/>
        </w:rPr>
        <w:t xml:space="preserve">Twoje dane będą przechowywane: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zakresie rozliczeń podatkowych i księgowych – przez okres wymagany przepisami prawa (zazwyczaj 5 lat od końca roku obrotowego);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zgody marketingowej – do czasu jej wycofania.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Odbiorcy danych</w:t>
        <w:br w:type="textWrapping"/>
      </w:r>
      <w:r w:rsidDel="00000000" w:rsidR="00000000" w:rsidRPr="00000000">
        <w:rPr>
          <w:rtl w:val="0"/>
        </w:rPr>
        <w:t xml:space="preserve">Dane mogą być przekazywane podmiotom świadczącym usługi na rzecz Fundacji, takim jak: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biuro rachunkowe,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dostawcy systemów informatycznych,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operatorzy płatności online.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Prawa osób, których dane dotyczą</w:t>
        <w:br w:type="textWrapping"/>
      </w:r>
      <w:r w:rsidDel="00000000" w:rsidR="00000000" w:rsidRPr="00000000">
        <w:rPr>
          <w:rtl w:val="0"/>
        </w:rPr>
        <w:t xml:space="preserve">Przysługują Ci następujące prawa: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dostępu do danych,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sprostowania,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usunięcia lub ograniczenia przetwarzania,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przenoszenia danych,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wniesienia sprzeciwu wobec przetwarzania,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cofnięcia zgody w dowolnym momencie (jeśli podstawą przetwarzania była zgoda).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Prawo do skargi</w:t>
        <w:br w:type="textWrapping"/>
      </w:r>
      <w:r w:rsidDel="00000000" w:rsidR="00000000" w:rsidRPr="00000000">
        <w:rPr>
          <w:rtl w:val="0"/>
        </w:rPr>
        <w:t xml:space="preserve">Masz prawo wniesienia skargi do Prezesa Urzędu Ochrony Danych Osobowych, jeśli uznasz, że przetwarzamy dane niezgodnie z prawem.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Inspektor ochrony danych</w:t>
        <w:br w:type="textWrapping"/>
      </w:r>
      <w:r w:rsidDel="00000000" w:rsidR="00000000" w:rsidRPr="00000000">
        <w:rPr>
          <w:rtl w:val="0"/>
        </w:rPr>
        <w:t xml:space="preserve">Fundacja nie powołała inspektora ochrony danych.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